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bookmarkStart w:id="0" w:name="_GoBack"/>
      <w:bookmarkEnd w:id="0"/>
      <w:r w:rsidRPr="00641A8F">
        <w:rPr>
          <w:rFonts w:ascii="Arial" w:hAnsi="Arial" w:cs="Arial"/>
          <w:bCs/>
        </w:rPr>
        <w:t xml:space="preserve">Порядок исчисления транспортного налога установлен Главой 28 </w:t>
      </w:r>
      <w:r w:rsidRPr="00641A8F">
        <w:rPr>
          <w:rFonts w:ascii="Arial" w:hAnsi="Arial" w:cs="Arial"/>
        </w:rPr>
        <w:t>Налогового кодекса Российской Федерации, Законом Вологодской области от 15.11.2002 № 842-ОЗ «О транспортном налоге» (в ред. от 2</w:t>
      </w:r>
      <w:r w:rsidR="00681BBC" w:rsidRPr="00641A8F">
        <w:rPr>
          <w:rFonts w:ascii="Arial" w:hAnsi="Arial" w:cs="Arial"/>
        </w:rPr>
        <w:t>7</w:t>
      </w:r>
      <w:r w:rsidRPr="00641A8F">
        <w:rPr>
          <w:rFonts w:ascii="Arial" w:hAnsi="Arial" w:cs="Arial"/>
        </w:rPr>
        <w:t>.1</w:t>
      </w:r>
      <w:r w:rsidR="00681BBC" w:rsidRPr="00641A8F">
        <w:rPr>
          <w:rFonts w:ascii="Arial" w:hAnsi="Arial" w:cs="Arial"/>
        </w:rPr>
        <w:t>2</w:t>
      </w:r>
      <w:r w:rsidRPr="00641A8F">
        <w:rPr>
          <w:rFonts w:ascii="Arial" w:hAnsi="Arial" w:cs="Arial"/>
        </w:rPr>
        <w:t>.201</w:t>
      </w:r>
      <w:r w:rsidR="00681BBC" w:rsidRPr="00641A8F">
        <w:rPr>
          <w:rFonts w:ascii="Arial" w:hAnsi="Arial" w:cs="Arial"/>
        </w:rPr>
        <w:t>9</w:t>
      </w:r>
      <w:r w:rsidRPr="00641A8F">
        <w:rPr>
          <w:rFonts w:ascii="Arial" w:hAnsi="Arial" w:cs="Arial"/>
        </w:rPr>
        <w:t xml:space="preserve"> </w:t>
      </w:r>
      <w:hyperlink r:id="rId6" w:history="1">
        <w:r w:rsidRPr="00641A8F">
          <w:rPr>
            <w:rStyle w:val="a3"/>
            <w:rFonts w:ascii="Arial" w:hAnsi="Arial" w:cs="Arial"/>
            <w:color w:val="auto"/>
            <w:u w:val="none"/>
          </w:rPr>
          <w:t>№ 4</w:t>
        </w:r>
        <w:r w:rsidR="00681BBC" w:rsidRPr="00641A8F">
          <w:rPr>
            <w:rStyle w:val="a3"/>
            <w:rFonts w:ascii="Arial" w:hAnsi="Arial" w:cs="Arial"/>
            <w:color w:val="auto"/>
            <w:u w:val="none"/>
          </w:rPr>
          <w:t>630</w:t>
        </w:r>
        <w:r w:rsidRPr="00641A8F">
          <w:rPr>
            <w:rStyle w:val="a3"/>
            <w:rFonts w:ascii="Arial" w:hAnsi="Arial" w:cs="Arial"/>
            <w:color w:val="auto"/>
            <w:u w:val="none"/>
          </w:rPr>
          <w:t xml:space="preserve">-ОЗ </w:t>
        </w:r>
      </w:hyperlink>
      <w:r w:rsidRPr="00641A8F">
        <w:rPr>
          <w:rFonts w:ascii="Arial" w:hAnsi="Arial" w:cs="Arial"/>
        </w:rPr>
        <w:t>).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</w:rPr>
      </w:pPr>
      <w:r w:rsidRPr="00641A8F">
        <w:rPr>
          <w:rFonts w:ascii="Arial" w:hAnsi="Arial" w:cs="Arial"/>
          <w:b/>
          <w:bCs/>
          <w:color w:val="FF0000"/>
        </w:rPr>
        <w:t>Плательщики налога</w:t>
      </w:r>
      <w:r w:rsidRPr="00641A8F">
        <w:rPr>
          <w:rFonts w:ascii="Arial" w:hAnsi="Arial" w:cs="Arial"/>
          <w:bCs/>
        </w:rPr>
        <w:t xml:space="preserve"> – физические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41A8F">
        <w:rPr>
          <w:rFonts w:ascii="Arial" w:hAnsi="Arial" w:cs="Arial"/>
          <w:b/>
          <w:bCs/>
          <w:color w:val="FF0000"/>
        </w:rPr>
        <w:t>Объект налогообложения</w:t>
      </w:r>
      <w:r w:rsidRPr="00641A8F">
        <w:rPr>
          <w:rFonts w:ascii="Arial" w:hAnsi="Arial" w:cs="Arial"/>
          <w:bCs/>
        </w:rPr>
        <w:t xml:space="preserve"> – </w:t>
      </w:r>
      <w:r w:rsidRPr="00641A8F">
        <w:rPr>
          <w:rFonts w:ascii="Arial" w:hAnsi="Arial" w:cs="Arial"/>
        </w:rPr>
        <w:t xml:space="preserve">автомобили, мотоциклы, мотороллеры, автобусы и другие самоходные </w:t>
      </w:r>
      <w:proofErr w:type="gramStart"/>
      <w:r w:rsidRPr="00641A8F">
        <w:rPr>
          <w:rFonts w:ascii="Arial" w:hAnsi="Arial" w:cs="Arial"/>
        </w:rPr>
        <w:t>машины</w:t>
      </w:r>
      <w:proofErr w:type="gramEnd"/>
      <w:r w:rsidRPr="00641A8F">
        <w:rPr>
          <w:rFonts w:ascii="Arial" w:hAnsi="Arial" w:cs="Arial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и </w:t>
      </w:r>
      <w:hyperlink r:id="rId7" w:history="1">
        <w:r w:rsidRPr="00641A8F">
          <w:rPr>
            <w:rStyle w:val="a3"/>
            <w:rFonts w:ascii="Arial" w:hAnsi="Arial" w:cs="Arial"/>
            <w:color w:val="auto"/>
            <w:u w:val="none"/>
          </w:rPr>
          <w:t>другие</w:t>
        </w:r>
      </w:hyperlink>
      <w:r w:rsidRPr="00641A8F">
        <w:rPr>
          <w:rFonts w:ascii="Arial" w:hAnsi="Arial" w:cs="Arial"/>
        </w:rPr>
        <w:t xml:space="preserve">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964C8"/>
        </w:rPr>
      </w:pPr>
    </w:p>
    <w:p w:rsidR="008B369D" w:rsidRPr="00641A8F" w:rsidRDefault="008B369D" w:rsidP="008B369D">
      <w:pPr>
        <w:pStyle w:val="ConsPlusNormal"/>
        <w:tabs>
          <w:tab w:val="left" w:pos="10772"/>
        </w:tabs>
        <w:ind w:right="140"/>
        <w:jc w:val="center"/>
        <w:rPr>
          <w:b/>
          <w:color w:val="FF0000"/>
          <w:sz w:val="22"/>
          <w:szCs w:val="22"/>
        </w:rPr>
      </w:pPr>
      <w:r w:rsidRPr="00641A8F">
        <w:rPr>
          <w:b/>
          <w:color w:val="FF0000"/>
          <w:sz w:val="22"/>
          <w:szCs w:val="22"/>
        </w:rPr>
        <w:t xml:space="preserve">Льгота по транспортному налогу с физических лиц предоставляется </w:t>
      </w:r>
      <w:r w:rsidRPr="00641A8F">
        <w:rPr>
          <w:b/>
          <w:color w:val="FF0000"/>
          <w:sz w:val="22"/>
          <w:szCs w:val="22"/>
          <w:u w:val="single"/>
        </w:rPr>
        <w:t>в отношении одного транспортного средства по выбору налогоплательщика</w:t>
      </w:r>
      <w:r w:rsidRPr="00641A8F">
        <w:rPr>
          <w:b/>
          <w:color w:val="FF0000"/>
          <w:sz w:val="22"/>
          <w:szCs w:val="22"/>
        </w:rPr>
        <w:t xml:space="preserve"> </w:t>
      </w:r>
    </w:p>
    <w:p w:rsidR="008B369D" w:rsidRPr="00641A8F" w:rsidRDefault="008B369D" w:rsidP="008B369D">
      <w:pPr>
        <w:pStyle w:val="ConsPlusNormal"/>
        <w:tabs>
          <w:tab w:val="left" w:pos="10772"/>
        </w:tabs>
        <w:ind w:right="140"/>
        <w:jc w:val="center"/>
        <w:rPr>
          <w:b/>
          <w:color w:val="FF0000"/>
          <w:sz w:val="22"/>
          <w:szCs w:val="22"/>
        </w:rPr>
      </w:pPr>
      <w:r w:rsidRPr="00641A8F">
        <w:rPr>
          <w:b/>
          <w:color w:val="FF0000"/>
          <w:sz w:val="22"/>
          <w:szCs w:val="22"/>
        </w:rPr>
        <w:t>следующим категориям налогоплательщиков: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right="-2" w:firstLine="142"/>
        <w:jc w:val="both"/>
        <w:rPr>
          <w:rFonts w:ascii="Arial" w:hAnsi="Arial" w:cs="Arial"/>
        </w:rPr>
      </w:pPr>
      <w:r w:rsidRPr="00641A8F">
        <w:rPr>
          <w:rFonts w:ascii="Arial" w:hAnsi="Arial" w:cs="Arial"/>
        </w:rPr>
        <w:t>–</w:t>
      </w:r>
      <w:r w:rsidRPr="00641A8F">
        <w:rPr>
          <w:rFonts w:ascii="Arial" w:hAnsi="Arial" w:cs="Arial"/>
          <w:b/>
        </w:rPr>
        <w:t> </w:t>
      </w:r>
      <w:r w:rsidRPr="00641A8F">
        <w:rPr>
          <w:rFonts w:ascii="Arial" w:hAnsi="Arial" w:cs="Arial"/>
        </w:rPr>
        <w:t>Героям Советского Союза и Героям РФ, лицам, награжденным орденом Славы трех степеней;</w:t>
      </w:r>
    </w:p>
    <w:p w:rsidR="008B369D" w:rsidRPr="00641A8F" w:rsidRDefault="008B369D" w:rsidP="008B369D">
      <w:pPr>
        <w:pStyle w:val="ConsPlusNormal"/>
        <w:ind w:right="45" w:firstLine="142"/>
        <w:jc w:val="both"/>
        <w:rPr>
          <w:sz w:val="22"/>
          <w:szCs w:val="22"/>
        </w:rPr>
      </w:pPr>
      <w:r w:rsidRPr="00641A8F">
        <w:rPr>
          <w:sz w:val="22"/>
          <w:szCs w:val="22"/>
        </w:rPr>
        <w:t>– участникам Великой Отечественной войны; лицам, награжденным знаком «Жителю блокадного Ленинграда»; ветеранам боевых действий;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</w:rPr>
      </w:pPr>
      <w:r w:rsidRPr="00641A8F">
        <w:rPr>
          <w:rFonts w:ascii="Arial" w:hAnsi="Arial" w:cs="Arial"/>
        </w:rPr>
        <w:t xml:space="preserve">– </w:t>
      </w:r>
      <w:r w:rsidRPr="00641A8F">
        <w:rPr>
          <w:rFonts w:ascii="Arial" w:hAnsi="Arial" w:cs="Arial"/>
          <w:bCs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катастрофы;</w:t>
      </w:r>
    </w:p>
    <w:p w:rsidR="008B369D" w:rsidRPr="00641A8F" w:rsidRDefault="008B369D" w:rsidP="008B369D">
      <w:pPr>
        <w:pStyle w:val="ConsPlusNormal"/>
        <w:jc w:val="both"/>
        <w:rPr>
          <w:sz w:val="22"/>
          <w:szCs w:val="22"/>
        </w:rPr>
      </w:pPr>
      <w:proofErr w:type="gramStart"/>
      <w:r w:rsidRPr="00641A8F">
        <w:rPr>
          <w:sz w:val="22"/>
          <w:szCs w:val="22"/>
        </w:rPr>
        <w:t xml:space="preserve">– инвалидам всех категорий в отношении легкового автомобиля с мощностью двигателя до 150 </w:t>
      </w:r>
      <w:proofErr w:type="spellStart"/>
      <w:r w:rsidRPr="00641A8F">
        <w:rPr>
          <w:sz w:val="22"/>
          <w:szCs w:val="22"/>
        </w:rPr>
        <w:t>л.с</w:t>
      </w:r>
      <w:proofErr w:type="spellEnd"/>
      <w:r w:rsidRPr="00641A8F">
        <w:rPr>
          <w:sz w:val="22"/>
          <w:szCs w:val="22"/>
        </w:rPr>
        <w:t xml:space="preserve">. (до 110.33 кВт) включительно; мотоцикла (мотороллера) с мощностью </w:t>
      </w:r>
      <w:r w:rsidRPr="00641A8F">
        <w:rPr>
          <w:sz w:val="22"/>
          <w:szCs w:val="22"/>
        </w:rPr>
        <w:lastRenderedPageBreak/>
        <w:t xml:space="preserve">двигателя до 40 </w:t>
      </w:r>
      <w:proofErr w:type="spellStart"/>
      <w:r w:rsidRPr="00641A8F">
        <w:rPr>
          <w:sz w:val="22"/>
          <w:szCs w:val="22"/>
        </w:rPr>
        <w:t>л.с</w:t>
      </w:r>
      <w:proofErr w:type="spellEnd"/>
      <w:r w:rsidRPr="00641A8F">
        <w:rPr>
          <w:sz w:val="22"/>
          <w:szCs w:val="22"/>
        </w:rPr>
        <w:t xml:space="preserve">. (до 29.42 кВт) включительно; других самоходных транспортных средств, машин и механизмов на пневматическом и гусеничном ходу; снегохода, мотосаней с мощностью двигателя до 50 </w:t>
      </w:r>
      <w:proofErr w:type="spellStart"/>
      <w:r w:rsidRPr="00641A8F">
        <w:rPr>
          <w:sz w:val="22"/>
          <w:szCs w:val="22"/>
        </w:rPr>
        <w:t>л.с</w:t>
      </w:r>
      <w:proofErr w:type="spellEnd"/>
      <w:r w:rsidRPr="00641A8F">
        <w:rPr>
          <w:sz w:val="22"/>
          <w:szCs w:val="22"/>
        </w:rPr>
        <w:t>. (до</w:t>
      </w:r>
      <w:r w:rsidRPr="003D2F48">
        <w:rPr>
          <w:rFonts w:ascii="Times New Roman" w:hAnsi="Times New Roman" w:cs="Times New Roman"/>
          <w:sz w:val="22"/>
          <w:szCs w:val="22"/>
        </w:rPr>
        <w:t xml:space="preserve"> 36.77 кВт) включительно;</w:t>
      </w:r>
      <w:proofErr w:type="gramEnd"/>
      <w:r w:rsidRPr="003D2F48">
        <w:rPr>
          <w:rFonts w:ascii="Times New Roman" w:hAnsi="Times New Roman" w:cs="Times New Roman"/>
          <w:sz w:val="22"/>
          <w:szCs w:val="22"/>
        </w:rPr>
        <w:t xml:space="preserve"> </w:t>
      </w:r>
      <w:r w:rsidRPr="00641A8F">
        <w:rPr>
          <w:sz w:val="22"/>
          <w:szCs w:val="22"/>
        </w:rPr>
        <w:t xml:space="preserve">катера, моторной лодки и других водных транспортных средств с мощностью двигателя до 100 </w:t>
      </w:r>
      <w:proofErr w:type="spellStart"/>
      <w:r w:rsidRPr="00641A8F">
        <w:rPr>
          <w:sz w:val="22"/>
          <w:szCs w:val="22"/>
        </w:rPr>
        <w:t>л.с</w:t>
      </w:r>
      <w:proofErr w:type="spellEnd"/>
      <w:r w:rsidRPr="00641A8F">
        <w:rPr>
          <w:sz w:val="22"/>
          <w:szCs w:val="22"/>
        </w:rPr>
        <w:t xml:space="preserve">. (до 73.55 кВт) включительно; грузового автомобиля с мощностью двигателя до 85 </w:t>
      </w:r>
      <w:proofErr w:type="spellStart"/>
      <w:r w:rsidRPr="00641A8F">
        <w:rPr>
          <w:sz w:val="22"/>
          <w:szCs w:val="22"/>
        </w:rPr>
        <w:t>л.с</w:t>
      </w:r>
      <w:proofErr w:type="spellEnd"/>
      <w:r w:rsidRPr="00641A8F">
        <w:rPr>
          <w:sz w:val="22"/>
          <w:szCs w:val="22"/>
        </w:rPr>
        <w:t>. (до 62.52 кВт) включительно и массой без нагрузки не более 1100 кг включительно, зарегистрированных в установленном порядке;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1A8F">
        <w:rPr>
          <w:rFonts w:ascii="Arial" w:hAnsi="Arial" w:cs="Arial"/>
        </w:rPr>
        <w:t xml:space="preserve">– гражданам, которым назначена трудовая пенсия или страховая пенсия по старости в соответствии с законодательством Российской Федерации, в отношении легкового автомобиля с мощностью двигателя до 150 </w:t>
      </w:r>
      <w:proofErr w:type="spellStart"/>
      <w:r w:rsidRPr="00641A8F">
        <w:rPr>
          <w:rFonts w:ascii="Arial" w:hAnsi="Arial" w:cs="Arial"/>
        </w:rPr>
        <w:t>л.с</w:t>
      </w:r>
      <w:proofErr w:type="spellEnd"/>
      <w:r w:rsidRPr="00641A8F">
        <w:rPr>
          <w:rFonts w:ascii="Arial" w:hAnsi="Arial" w:cs="Arial"/>
        </w:rPr>
        <w:t xml:space="preserve">. (до 110.33 кВт) включительно, мотоцикла и мотороллера с мощностью двигателя до 40 </w:t>
      </w:r>
      <w:proofErr w:type="spellStart"/>
      <w:r w:rsidRPr="00641A8F">
        <w:rPr>
          <w:rFonts w:ascii="Arial" w:hAnsi="Arial" w:cs="Arial"/>
        </w:rPr>
        <w:t>л.с</w:t>
      </w:r>
      <w:proofErr w:type="spellEnd"/>
      <w:r w:rsidRPr="00641A8F">
        <w:rPr>
          <w:rFonts w:ascii="Arial" w:hAnsi="Arial" w:cs="Arial"/>
        </w:rPr>
        <w:t xml:space="preserve">. (до 29.42 кВт) включительно; грузового автомобиля с мощностью двигателя до 85 </w:t>
      </w:r>
      <w:proofErr w:type="spellStart"/>
      <w:r w:rsidRPr="00641A8F">
        <w:rPr>
          <w:rFonts w:ascii="Arial" w:hAnsi="Arial" w:cs="Arial"/>
        </w:rPr>
        <w:t>л.с</w:t>
      </w:r>
      <w:proofErr w:type="spellEnd"/>
      <w:r w:rsidRPr="00641A8F">
        <w:rPr>
          <w:rFonts w:ascii="Arial" w:hAnsi="Arial" w:cs="Arial"/>
        </w:rPr>
        <w:t>. (до 62.52 кВт) включительно и массой нагрузки не более 1100 кг включительно, в отношении моторной лодки, зарегистрированных в установленном порядке.</w:t>
      </w:r>
    </w:p>
    <w:p w:rsidR="008B369D" w:rsidRPr="003D2F48" w:rsidRDefault="008B369D" w:rsidP="008B369D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641A8F">
        <w:rPr>
          <w:rFonts w:ascii="Arial" w:hAnsi="Arial" w:cs="Arial"/>
          <w:color w:val="FF0000"/>
          <w:sz w:val="36"/>
          <w:szCs w:val="36"/>
        </w:rPr>
        <w:t xml:space="preserve">Срок уплаты </w:t>
      </w:r>
      <w:proofErr w:type="gramStart"/>
      <w:r w:rsidRPr="00641A8F">
        <w:rPr>
          <w:rFonts w:ascii="Arial" w:hAnsi="Arial" w:cs="Arial"/>
          <w:color w:val="FF0000"/>
          <w:sz w:val="36"/>
          <w:szCs w:val="36"/>
        </w:rPr>
        <w:t>транспортного</w:t>
      </w:r>
      <w:proofErr w:type="gramEnd"/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641A8F">
        <w:rPr>
          <w:rFonts w:ascii="Arial" w:hAnsi="Arial" w:cs="Arial"/>
          <w:color w:val="FF0000"/>
          <w:sz w:val="36"/>
          <w:szCs w:val="36"/>
        </w:rPr>
        <w:t>налога за 20</w:t>
      </w:r>
      <w:r w:rsidR="0098081B" w:rsidRPr="006D7DB9">
        <w:rPr>
          <w:rFonts w:ascii="Arial" w:hAnsi="Arial" w:cs="Arial"/>
          <w:color w:val="FF0000"/>
          <w:sz w:val="36"/>
          <w:szCs w:val="36"/>
        </w:rPr>
        <w:t>20</w:t>
      </w:r>
      <w:r w:rsidRPr="00641A8F">
        <w:rPr>
          <w:rFonts w:ascii="Arial" w:hAnsi="Arial" w:cs="Arial"/>
          <w:color w:val="FF0000"/>
          <w:sz w:val="36"/>
          <w:szCs w:val="36"/>
        </w:rPr>
        <w:t xml:space="preserve"> год – </w:t>
      </w: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41A8F">
        <w:rPr>
          <w:rFonts w:ascii="Arial" w:hAnsi="Arial" w:cs="Arial"/>
          <w:b/>
          <w:color w:val="FF0000"/>
          <w:sz w:val="36"/>
          <w:szCs w:val="36"/>
        </w:rPr>
        <w:t xml:space="preserve">не позднее </w:t>
      </w:r>
    </w:p>
    <w:p w:rsidR="008B369D" w:rsidRPr="00641A8F" w:rsidRDefault="00EE1166" w:rsidP="008B369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41A8F">
        <w:rPr>
          <w:rFonts w:ascii="Arial" w:hAnsi="Arial" w:cs="Arial"/>
          <w:b/>
          <w:color w:val="FF0000"/>
          <w:sz w:val="36"/>
          <w:szCs w:val="36"/>
          <w:u w:val="single"/>
        </w:rPr>
        <w:t>1</w:t>
      </w:r>
      <w:r w:rsidR="008B369D" w:rsidRPr="00641A8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декабря 202</w:t>
      </w:r>
      <w:r w:rsidR="0098081B" w:rsidRPr="006D7DB9">
        <w:rPr>
          <w:rFonts w:ascii="Arial" w:hAnsi="Arial" w:cs="Arial"/>
          <w:b/>
          <w:color w:val="FF0000"/>
          <w:sz w:val="36"/>
          <w:szCs w:val="36"/>
          <w:u w:val="single"/>
        </w:rPr>
        <w:t>1</w:t>
      </w:r>
      <w:r w:rsidR="008B369D" w:rsidRPr="00641A8F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года</w:t>
      </w:r>
    </w:p>
    <w:p w:rsidR="008B369D" w:rsidRPr="003D2F48" w:rsidRDefault="008B369D" w:rsidP="008B369D">
      <w:pPr>
        <w:pStyle w:val="a5"/>
        <w:spacing w:after="0"/>
        <w:jc w:val="center"/>
        <w:rPr>
          <w:b/>
          <w:color w:val="2263E6"/>
          <w:sz w:val="40"/>
          <w:szCs w:val="40"/>
        </w:rPr>
      </w:pPr>
    </w:p>
    <w:p w:rsidR="008B369D" w:rsidRPr="00641A8F" w:rsidRDefault="008B369D" w:rsidP="008B369D">
      <w:pPr>
        <w:pStyle w:val="a5"/>
        <w:spacing w:after="0"/>
        <w:jc w:val="center"/>
        <w:rPr>
          <w:rFonts w:ascii="Arial" w:hAnsi="Arial" w:cs="Arial"/>
          <w:b/>
          <w:color w:val="2263E6"/>
          <w:sz w:val="40"/>
          <w:szCs w:val="40"/>
        </w:rPr>
      </w:pPr>
      <w:r w:rsidRPr="00641A8F">
        <w:rPr>
          <w:rFonts w:ascii="Arial" w:hAnsi="Arial" w:cs="Arial"/>
          <w:b/>
          <w:color w:val="2263E6"/>
          <w:sz w:val="40"/>
          <w:szCs w:val="40"/>
        </w:rPr>
        <w:t xml:space="preserve">Пожалуйста, </w:t>
      </w:r>
    </w:p>
    <w:p w:rsidR="008B369D" w:rsidRPr="00641A8F" w:rsidRDefault="008B369D" w:rsidP="008B369D">
      <w:pPr>
        <w:pStyle w:val="a5"/>
        <w:spacing w:after="0"/>
        <w:jc w:val="center"/>
        <w:rPr>
          <w:rFonts w:ascii="Arial" w:hAnsi="Arial" w:cs="Arial"/>
          <w:b/>
          <w:color w:val="2263E6"/>
          <w:sz w:val="40"/>
          <w:szCs w:val="40"/>
        </w:rPr>
      </w:pPr>
      <w:r w:rsidRPr="00641A8F">
        <w:rPr>
          <w:rFonts w:ascii="Arial" w:hAnsi="Arial" w:cs="Arial"/>
          <w:b/>
          <w:color w:val="2263E6"/>
          <w:sz w:val="40"/>
          <w:szCs w:val="40"/>
        </w:rPr>
        <w:t xml:space="preserve">заплатите </w:t>
      </w:r>
    </w:p>
    <w:p w:rsidR="008B369D" w:rsidRPr="00641A8F" w:rsidRDefault="008B369D" w:rsidP="008B369D">
      <w:pPr>
        <w:pStyle w:val="a5"/>
        <w:spacing w:after="0"/>
        <w:jc w:val="center"/>
        <w:rPr>
          <w:rFonts w:ascii="Arial" w:hAnsi="Arial" w:cs="Arial"/>
          <w:b/>
          <w:color w:val="2263E6"/>
          <w:sz w:val="40"/>
          <w:szCs w:val="40"/>
        </w:rPr>
      </w:pPr>
      <w:r w:rsidRPr="00641A8F">
        <w:rPr>
          <w:rFonts w:ascii="Arial" w:hAnsi="Arial" w:cs="Arial"/>
          <w:b/>
          <w:color w:val="2263E6"/>
          <w:sz w:val="40"/>
          <w:szCs w:val="40"/>
        </w:rPr>
        <w:t>налог своевременно!</w:t>
      </w:r>
    </w:p>
    <w:p w:rsidR="008B369D" w:rsidRPr="003D2F48" w:rsidRDefault="008B369D" w:rsidP="008B36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2364E6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2364E6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2364E6"/>
          <w:sz w:val="18"/>
          <w:szCs w:val="18"/>
        </w:rPr>
      </w:pPr>
    </w:p>
    <w:p w:rsidR="008B369D" w:rsidRPr="00641A8F" w:rsidRDefault="008B369D" w:rsidP="008B369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2364E6"/>
        </w:rPr>
      </w:pPr>
      <w:r w:rsidRPr="00641A8F">
        <w:rPr>
          <w:rFonts w:ascii="Arial" w:hAnsi="Arial" w:cs="Arial"/>
          <w:b/>
          <w:color w:val="2364E6"/>
        </w:rPr>
        <w:lastRenderedPageBreak/>
        <w:t>Налог = налоговая база х налоговая ставка, руб. х (количество месяцев владения / 12)</w:t>
      </w: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1A8F">
        <w:rPr>
          <w:rFonts w:ascii="Arial" w:hAnsi="Arial" w:cs="Arial"/>
          <w:b/>
          <w:sz w:val="18"/>
          <w:szCs w:val="18"/>
        </w:rPr>
        <w:t>Ставки налога, установленные</w:t>
      </w:r>
      <w:r w:rsidRPr="00641A8F">
        <w:rPr>
          <w:rFonts w:ascii="Arial" w:hAnsi="Arial" w:cs="Arial"/>
          <w:sz w:val="18"/>
          <w:szCs w:val="18"/>
        </w:rPr>
        <w:t xml:space="preserve"> </w:t>
      </w:r>
      <w:r w:rsidRPr="00641A8F">
        <w:rPr>
          <w:rFonts w:ascii="Arial" w:hAnsi="Arial" w:cs="Arial"/>
          <w:b/>
          <w:sz w:val="18"/>
          <w:szCs w:val="18"/>
        </w:rPr>
        <w:t xml:space="preserve">на </w:t>
      </w:r>
      <w:proofErr w:type="gramStart"/>
      <w:r w:rsidRPr="00641A8F">
        <w:rPr>
          <w:rFonts w:ascii="Arial" w:hAnsi="Arial" w:cs="Arial"/>
          <w:b/>
          <w:sz w:val="18"/>
          <w:szCs w:val="18"/>
        </w:rPr>
        <w:t>налоговый</w:t>
      </w:r>
      <w:proofErr w:type="gramEnd"/>
      <w:r w:rsidRPr="00641A8F">
        <w:rPr>
          <w:rFonts w:ascii="Arial" w:hAnsi="Arial" w:cs="Arial"/>
          <w:b/>
          <w:sz w:val="18"/>
          <w:szCs w:val="18"/>
        </w:rPr>
        <w:t xml:space="preserve"> 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1A8F">
        <w:rPr>
          <w:rFonts w:ascii="Arial" w:hAnsi="Arial" w:cs="Arial"/>
          <w:b/>
          <w:sz w:val="18"/>
          <w:szCs w:val="18"/>
        </w:rPr>
        <w:t>период 20</w:t>
      </w:r>
      <w:r w:rsidR="00EA6972" w:rsidRPr="00EA6972">
        <w:rPr>
          <w:rFonts w:ascii="Arial" w:hAnsi="Arial" w:cs="Arial"/>
          <w:b/>
          <w:sz w:val="18"/>
          <w:szCs w:val="18"/>
        </w:rPr>
        <w:t>20</w:t>
      </w:r>
      <w:r w:rsidRPr="00641A8F">
        <w:rPr>
          <w:rFonts w:ascii="Arial" w:hAnsi="Arial" w:cs="Arial"/>
          <w:b/>
          <w:sz w:val="18"/>
          <w:szCs w:val="18"/>
        </w:rPr>
        <w:t xml:space="preserve"> года в соответствии с Законом 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1A8F">
        <w:rPr>
          <w:rFonts w:ascii="Arial" w:hAnsi="Arial" w:cs="Arial"/>
          <w:b/>
          <w:sz w:val="18"/>
          <w:szCs w:val="18"/>
        </w:rPr>
        <w:t xml:space="preserve">Вологодской области «О транспортном налоге» 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41A8F">
        <w:rPr>
          <w:rFonts w:ascii="Arial" w:hAnsi="Arial" w:cs="Arial"/>
          <w:b/>
          <w:sz w:val="18"/>
          <w:szCs w:val="18"/>
        </w:rPr>
        <w:t>№ 842-ОЗ от 15.11.2002:</w:t>
      </w:r>
    </w:p>
    <w:tbl>
      <w:tblPr>
        <w:tblW w:w="510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1"/>
        <w:gridCol w:w="709"/>
      </w:tblGrid>
      <w:tr w:rsidR="008B369D" w:rsidRPr="003D2F48" w:rsidTr="008B369D">
        <w:trPr>
          <w:trHeight w:val="41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1A8F">
              <w:rPr>
                <w:rFonts w:ascii="Arial" w:hAnsi="Arial" w:cs="Arial"/>
                <w:sz w:val="16"/>
                <w:szCs w:val="16"/>
              </w:rPr>
              <w:t>Наименование объекта налогообложения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Ставка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налога в руб.</w:t>
            </w:r>
          </w:p>
        </w:tc>
      </w:tr>
      <w:tr w:rsidR="008B369D" w:rsidRPr="003D2F48" w:rsidTr="008B369D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Автомобили легковые с мощностью двигателя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9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F5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8B369D" w:rsidRPr="00641A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B369D" w:rsidRPr="003D2F48" w:rsidTr="008B369D">
        <w:trPr>
          <w:trHeight w:val="1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B369D" w:rsidRPr="003D2F48" w:rsidTr="008B369D">
        <w:trPr>
          <w:trHeight w:val="23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369D" w:rsidRPr="003D2F48" w:rsidTr="008B369D">
        <w:trPr>
          <w:trHeight w:val="1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8B369D" w:rsidRPr="003D2F48" w:rsidTr="008B369D">
        <w:trPr>
          <w:trHeight w:val="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8B369D" w:rsidRPr="003D2F48" w:rsidTr="008B369D">
        <w:trPr>
          <w:trHeight w:val="2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Мотоциклы и мотороллеры с мощностью двигателя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2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40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369D" w:rsidRPr="003D2F48" w:rsidTr="008B369D">
        <w:trPr>
          <w:trHeight w:val="1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40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B369D" w:rsidRPr="003D2F48" w:rsidTr="008B369D">
        <w:trPr>
          <w:trHeight w:val="1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369D" w:rsidRPr="003D2F48" w:rsidTr="008B369D">
        <w:trPr>
          <w:trHeight w:val="1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 xml:space="preserve">Автобусы с мощностью двигателя 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14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B369D" w:rsidRPr="003D2F48" w:rsidTr="008B369D">
        <w:trPr>
          <w:trHeight w:val="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8B369D" w:rsidRPr="003D2F48" w:rsidTr="008B369D">
        <w:trPr>
          <w:trHeight w:val="1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 xml:space="preserve">Автомобили грузовые с мощностью двигателя 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B369D" w:rsidRPr="003D2F48" w:rsidTr="008B369D">
        <w:trPr>
          <w:trHeight w:val="1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B369D" w:rsidRPr="003D2F48" w:rsidTr="008B369D">
        <w:trPr>
          <w:trHeight w:val="1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369D" w:rsidRPr="003D2F48" w:rsidTr="008B369D">
        <w:trPr>
          <w:trHeight w:val="2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8B369D" w:rsidRPr="003D2F48" w:rsidTr="008B369D">
        <w:trPr>
          <w:trHeight w:val="1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250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8B369D" w:rsidRPr="003D2F48" w:rsidTr="008B369D">
        <w:trPr>
          <w:trHeight w:val="5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 xml:space="preserve">Другие самоходные транспортные средства, машины и механизмы на пневматическом и гусеничном ходу (с каждой лошадиной силы)               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B369D" w:rsidRPr="003D2F48" w:rsidTr="008B369D">
        <w:trPr>
          <w:trHeight w:val="1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Снегоходы, мотосани с мощностью двигателя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1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B369D" w:rsidRPr="003D2F48" w:rsidTr="008B369D">
        <w:trPr>
          <w:trHeight w:val="1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50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369D" w:rsidRPr="003D2F48" w:rsidTr="008B369D">
        <w:trPr>
          <w:trHeight w:val="4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Катера, моторные лодки и другие водные транспортные средства с мощностью двигателя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1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B369D" w:rsidRPr="003D2F48" w:rsidTr="008B369D">
        <w:trPr>
          <w:trHeight w:val="1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B369D" w:rsidRPr="003D2F48" w:rsidTr="008B369D">
        <w:trPr>
          <w:trHeight w:val="4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13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B369D" w:rsidRPr="003D2F48" w:rsidTr="008B369D">
        <w:trPr>
          <w:trHeight w:val="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8B369D" w:rsidRPr="003D2F48" w:rsidTr="008B369D">
        <w:trPr>
          <w:trHeight w:val="1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Гидроциклы с мощностью двигателя</w:t>
            </w:r>
          </w:p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A8F">
              <w:rPr>
                <w:rFonts w:ascii="Arial" w:hAnsi="Arial" w:cs="Arial"/>
                <w:b/>
                <w:sz w:val="16"/>
                <w:szCs w:val="16"/>
              </w:rPr>
              <w:t>(с каждой лошадиной силы):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69D" w:rsidRPr="003D2F48" w:rsidTr="008B369D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включительно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8B369D" w:rsidRPr="003D2F48" w:rsidTr="008B369D">
        <w:trPr>
          <w:trHeight w:val="12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41A8F">
                <w:rPr>
                  <w:rFonts w:ascii="Arial" w:hAnsi="Arial" w:cs="Arial"/>
                  <w:sz w:val="16"/>
                  <w:szCs w:val="16"/>
                </w:rPr>
                <w:t xml:space="preserve">100 </w:t>
              </w:r>
              <w:proofErr w:type="spellStart"/>
              <w:r w:rsidRPr="00641A8F">
                <w:rPr>
                  <w:rFonts w:ascii="Arial" w:hAnsi="Arial" w:cs="Arial"/>
                  <w:sz w:val="16"/>
                  <w:szCs w:val="16"/>
                </w:rPr>
                <w:t>л</w:t>
              </w:r>
            </w:smartTag>
            <w:r w:rsidRPr="00641A8F">
              <w:rPr>
                <w:rFonts w:ascii="Arial" w:hAnsi="Arial" w:cs="Arial"/>
                <w:sz w:val="16"/>
                <w:szCs w:val="16"/>
              </w:rPr>
              <w:t>.с</w:t>
            </w:r>
            <w:proofErr w:type="spellEnd"/>
            <w:r w:rsidRPr="00641A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69D" w:rsidRPr="00641A8F" w:rsidRDefault="008B3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A8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</w:tbl>
    <w:p w:rsidR="008B369D" w:rsidRPr="00641A8F" w:rsidRDefault="008B369D" w:rsidP="008B369D">
      <w:pPr>
        <w:spacing w:after="0"/>
        <w:jc w:val="center"/>
        <w:rPr>
          <w:rFonts w:ascii="Arial" w:hAnsi="Arial" w:cs="Arial"/>
          <w:b/>
          <w:caps/>
          <w:color w:val="0064C8"/>
        </w:rPr>
      </w:pPr>
      <w:r w:rsidRPr="00641A8F">
        <w:rPr>
          <w:rFonts w:ascii="Arial" w:hAnsi="Arial" w:cs="Arial"/>
          <w:b/>
          <w:caps/>
          <w:color w:val="0064C8"/>
        </w:rPr>
        <w:lastRenderedPageBreak/>
        <w:t xml:space="preserve">Льгота на уплату налога </w:t>
      </w:r>
    </w:p>
    <w:p w:rsidR="008B369D" w:rsidRPr="00641A8F" w:rsidRDefault="008B369D" w:rsidP="008B36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</w:rPr>
      </w:pPr>
    </w:p>
    <w:p w:rsidR="000C3B05" w:rsidRPr="00641A8F" w:rsidRDefault="000C3B05" w:rsidP="000C3B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641A8F">
        <w:rPr>
          <w:rFonts w:ascii="Arial" w:eastAsiaTheme="minorHAnsi" w:hAnsi="Arial" w:cs="Arial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</w:t>
      </w:r>
      <w:hyperlink r:id="rId8" w:history="1">
        <w:r w:rsidRPr="00641A8F">
          <w:rPr>
            <w:rFonts w:ascii="Arial" w:eastAsiaTheme="minorHAnsi" w:hAnsi="Arial" w:cs="Arial"/>
          </w:rPr>
          <w:t>документы</w:t>
        </w:r>
      </w:hyperlink>
      <w:r w:rsidRPr="00641A8F">
        <w:rPr>
          <w:rFonts w:ascii="Arial" w:eastAsiaTheme="minorHAnsi" w:hAnsi="Arial" w:cs="Arial"/>
        </w:rPr>
        <w:t>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B369D" w:rsidRPr="00641A8F" w:rsidRDefault="008B369D" w:rsidP="000C3B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8B369D" w:rsidRPr="00641A8F" w:rsidRDefault="008B369D" w:rsidP="008B369D">
      <w:pPr>
        <w:tabs>
          <w:tab w:val="left" w:pos="4995"/>
        </w:tabs>
        <w:spacing w:after="0" w:line="240" w:lineRule="auto"/>
        <w:ind w:right="186"/>
        <w:jc w:val="center"/>
        <w:rPr>
          <w:rFonts w:ascii="Arial" w:hAnsi="Arial" w:cs="Arial"/>
          <w:bCs/>
        </w:rPr>
      </w:pPr>
      <w:r w:rsidRPr="00641A8F">
        <w:rPr>
          <w:rFonts w:ascii="Arial" w:hAnsi="Arial" w:cs="Arial"/>
          <w:bCs/>
        </w:rPr>
        <w:t xml:space="preserve">Со ставками имущественных налогов </w:t>
      </w:r>
    </w:p>
    <w:p w:rsidR="008B369D" w:rsidRPr="00641A8F" w:rsidRDefault="008B369D" w:rsidP="008B369D">
      <w:pPr>
        <w:tabs>
          <w:tab w:val="left" w:pos="4995"/>
        </w:tabs>
        <w:spacing w:after="0" w:line="240" w:lineRule="auto"/>
        <w:ind w:right="186"/>
        <w:jc w:val="center"/>
        <w:rPr>
          <w:rFonts w:ascii="Arial" w:hAnsi="Arial" w:cs="Arial"/>
          <w:bCs/>
        </w:rPr>
      </w:pPr>
      <w:r w:rsidRPr="00641A8F">
        <w:rPr>
          <w:rFonts w:ascii="Arial" w:hAnsi="Arial" w:cs="Arial"/>
          <w:bCs/>
        </w:rPr>
        <w:t xml:space="preserve">физических лиц и льготами Вы можете ознакомиться на сайте ФНС России </w:t>
      </w:r>
      <w:r w:rsidRPr="00641A8F">
        <w:rPr>
          <w:rFonts w:ascii="Arial" w:hAnsi="Arial" w:cs="Arial"/>
          <w:b/>
          <w:bCs/>
        </w:rPr>
        <w:t>www.nalog.</w:t>
      </w:r>
      <w:r w:rsidR="006D7DB9">
        <w:rPr>
          <w:rFonts w:ascii="Arial" w:hAnsi="Arial" w:cs="Arial"/>
          <w:b/>
          <w:bCs/>
          <w:lang w:val="en-US"/>
        </w:rPr>
        <w:t>gov</w:t>
      </w:r>
      <w:r w:rsidR="006D7DB9" w:rsidRPr="006D7DB9">
        <w:rPr>
          <w:rFonts w:ascii="Arial" w:hAnsi="Arial" w:cs="Arial"/>
          <w:b/>
          <w:bCs/>
        </w:rPr>
        <w:t>.</w:t>
      </w:r>
      <w:r w:rsidRPr="00641A8F">
        <w:rPr>
          <w:rFonts w:ascii="Arial" w:hAnsi="Arial" w:cs="Arial"/>
          <w:b/>
          <w:bCs/>
        </w:rPr>
        <w:t>ru</w:t>
      </w:r>
      <w:r w:rsidRPr="00641A8F">
        <w:rPr>
          <w:rFonts w:ascii="Arial" w:hAnsi="Arial" w:cs="Arial"/>
          <w:bCs/>
        </w:rPr>
        <w:t xml:space="preserve"> в </w:t>
      </w:r>
      <w:proofErr w:type="gramStart"/>
      <w:r w:rsidRPr="00641A8F">
        <w:rPr>
          <w:rFonts w:ascii="Arial" w:hAnsi="Arial" w:cs="Arial"/>
          <w:bCs/>
        </w:rPr>
        <w:t>интернет-сервисе</w:t>
      </w:r>
      <w:proofErr w:type="gramEnd"/>
      <w:r w:rsidRPr="00641A8F">
        <w:rPr>
          <w:rFonts w:ascii="Arial" w:hAnsi="Arial" w:cs="Arial"/>
          <w:bCs/>
        </w:rPr>
        <w:t xml:space="preserve"> </w:t>
      </w:r>
    </w:p>
    <w:p w:rsidR="008B369D" w:rsidRPr="00641A8F" w:rsidRDefault="008B369D" w:rsidP="008B369D">
      <w:pPr>
        <w:tabs>
          <w:tab w:val="left" w:pos="4995"/>
        </w:tabs>
        <w:spacing w:after="0" w:line="240" w:lineRule="auto"/>
        <w:ind w:right="187"/>
        <w:jc w:val="center"/>
        <w:rPr>
          <w:rFonts w:ascii="Arial" w:hAnsi="Arial" w:cs="Arial"/>
          <w:bCs/>
        </w:rPr>
      </w:pPr>
      <w:r w:rsidRPr="00641A8F">
        <w:rPr>
          <w:rFonts w:ascii="Arial" w:hAnsi="Arial" w:cs="Arial"/>
          <w:b/>
          <w:bCs/>
        </w:rPr>
        <w:t>«Справочная информация о ставках и льготах по имущественным налогам»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0064C8"/>
          <w:sz w:val="24"/>
          <w:szCs w:val="24"/>
        </w:rPr>
      </w:pPr>
      <w:r w:rsidRPr="00641A8F">
        <w:rPr>
          <w:rFonts w:ascii="Arial" w:hAnsi="Arial" w:cs="Arial"/>
          <w:b/>
          <w:color w:val="0064C8"/>
          <w:sz w:val="24"/>
          <w:szCs w:val="24"/>
        </w:rPr>
        <w:t xml:space="preserve">Подключитесь к </w:t>
      </w:r>
      <w:proofErr w:type="gramStart"/>
      <w:r w:rsidRPr="00641A8F">
        <w:rPr>
          <w:rFonts w:ascii="Arial" w:hAnsi="Arial" w:cs="Arial"/>
          <w:b/>
          <w:color w:val="0064C8"/>
          <w:sz w:val="24"/>
          <w:szCs w:val="24"/>
        </w:rPr>
        <w:t>интернет-сервису</w:t>
      </w:r>
      <w:proofErr w:type="gramEnd"/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41A8F">
        <w:rPr>
          <w:rFonts w:ascii="Arial" w:hAnsi="Arial" w:cs="Arial"/>
          <w:b/>
          <w:color w:val="FF0000"/>
          <w:sz w:val="24"/>
          <w:szCs w:val="24"/>
        </w:rPr>
        <w:t xml:space="preserve">«Личный кабинет налогоплательщика </w:t>
      </w: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2364E6"/>
          <w:sz w:val="24"/>
          <w:szCs w:val="24"/>
        </w:rPr>
      </w:pPr>
      <w:r w:rsidRPr="00641A8F">
        <w:rPr>
          <w:rFonts w:ascii="Arial" w:hAnsi="Arial" w:cs="Arial"/>
          <w:b/>
          <w:color w:val="FF0000"/>
          <w:sz w:val="24"/>
          <w:szCs w:val="24"/>
        </w:rPr>
        <w:t>для физических лиц»</w:t>
      </w:r>
      <w:r w:rsidRPr="00641A8F">
        <w:rPr>
          <w:rFonts w:ascii="Arial" w:hAnsi="Arial" w:cs="Arial"/>
          <w:b/>
          <w:color w:val="2364E6"/>
          <w:sz w:val="24"/>
          <w:szCs w:val="24"/>
        </w:rPr>
        <w:t xml:space="preserve"> </w:t>
      </w: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2364E6"/>
          <w:sz w:val="24"/>
          <w:szCs w:val="24"/>
        </w:rPr>
      </w:pPr>
      <w:r w:rsidRPr="00641A8F">
        <w:rPr>
          <w:rFonts w:ascii="Arial" w:hAnsi="Arial" w:cs="Arial"/>
          <w:b/>
          <w:color w:val="0064C8"/>
          <w:sz w:val="24"/>
          <w:szCs w:val="24"/>
        </w:rPr>
        <w:t xml:space="preserve">на сайте ФНС России </w:t>
      </w:r>
      <w:hyperlink r:id="rId9" w:history="1">
        <w:r w:rsidR="006D7DB9" w:rsidRPr="002A6480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="006D7DB9" w:rsidRPr="002A6480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D7DB9" w:rsidRPr="002A6480">
          <w:rPr>
            <w:rStyle w:val="a3"/>
            <w:rFonts w:ascii="Arial" w:hAnsi="Arial" w:cs="Arial"/>
            <w:b/>
            <w:sz w:val="24"/>
            <w:szCs w:val="24"/>
            <w:lang w:val="en-US"/>
          </w:rPr>
          <w:t>nalog</w:t>
        </w:r>
        <w:proofErr w:type="spellEnd"/>
        <w:r w:rsidR="006D7DB9" w:rsidRPr="006D7DB9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D7DB9" w:rsidRPr="002A6480">
          <w:rPr>
            <w:rStyle w:val="a3"/>
            <w:rFonts w:ascii="Arial" w:hAnsi="Arial" w:cs="Arial"/>
            <w:b/>
            <w:sz w:val="24"/>
            <w:szCs w:val="24"/>
            <w:lang w:val="en-US"/>
          </w:rPr>
          <w:t>gov</w:t>
        </w:r>
        <w:proofErr w:type="spellEnd"/>
        <w:r w:rsidR="006D7DB9" w:rsidRPr="006D7DB9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6D7DB9" w:rsidRPr="002A6480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641A8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B369D" w:rsidRPr="00641A8F" w:rsidRDefault="008B369D" w:rsidP="008B369D">
      <w:pPr>
        <w:spacing w:after="0" w:line="240" w:lineRule="auto"/>
        <w:jc w:val="center"/>
        <w:rPr>
          <w:rFonts w:ascii="Arial" w:hAnsi="Arial" w:cs="Arial"/>
          <w:b/>
          <w:color w:val="0064C8"/>
          <w:sz w:val="24"/>
          <w:szCs w:val="24"/>
        </w:rPr>
      </w:pPr>
      <w:r w:rsidRPr="00641A8F">
        <w:rPr>
          <w:rFonts w:ascii="Arial" w:hAnsi="Arial" w:cs="Arial"/>
          <w:b/>
          <w:color w:val="0064C8"/>
          <w:sz w:val="24"/>
          <w:szCs w:val="24"/>
        </w:rPr>
        <w:t>и узнайте все о своих налогах!</w:t>
      </w:r>
    </w:p>
    <w:p w:rsidR="008B369D" w:rsidRPr="003D2F48" w:rsidRDefault="008B369D" w:rsidP="008B369D">
      <w:pPr>
        <w:pStyle w:val="a7"/>
        <w:ind w:left="0"/>
        <w:jc w:val="both"/>
        <w:rPr>
          <w:sz w:val="20"/>
          <w:szCs w:val="20"/>
        </w:rPr>
      </w:pPr>
    </w:p>
    <w:p w:rsidR="008B369D" w:rsidRPr="00641A8F" w:rsidRDefault="008B369D" w:rsidP="008B369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</w:rPr>
      </w:pPr>
      <w:r w:rsidRPr="00641A8F">
        <w:rPr>
          <w:rFonts w:ascii="Arial" w:hAnsi="Arial" w:cs="Arial"/>
        </w:rPr>
        <w:t>Доступ к сервису</w:t>
      </w:r>
      <w:r w:rsidRPr="00641A8F">
        <w:rPr>
          <w:rFonts w:ascii="Arial" w:hAnsi="Arial" w:cs="Arial"/>
          <w:color w:val="404040"/>
        </w:rPr>
        <w:t xml:space="preserve"> </w:t>
      </w:r>
      <w:r w:rsidRPr="00641A8F">
        <w:rPr>
          <w:rFonts w:ascii="Arial" w:hAnsi="Arial" w:cs="Arial"/>
          <w:bCs/>
        </w:rPr>
        <w:t>«Личный кабинет налогоплательщика для физических лиц»</w:t>
      </w:r>
      <w:r w:rsidRPr="00641A8F">
        <w:rPr>
          <w:rFonts w:ascii="Arial" w:hAnsi="Arial" w:cs="Arial"/>
          <w:b/>
          <w:bCs/>
          <w:color w:val="FF0000"/>
        </w:rPr>
        <w:t xml:space="preserve"> </w:t>
      </w:r>
      <w:r w:rsidRPr="00641A8F">
        <w:rPr>
          <w:rFonts w:ascii="Arial" w:hAnsi="Arial" w:cs="Arial"/>
        </w:rPr>
        <w:t>можно получить в любой налоговой инспекции, независимо от места постановки на учет, при наличии паспорта и свидетельства ИНН.</w:t>
      </w:r>
    </w:p>
    <w:p w:rsidR="008B369D" w:rsidRPr="003D2F48" w:rsidRDefault="00641A8F" w:rsidP="008B369D">
      <w:pPr>
        <w:spacing w:after="0" w:line="240" w:lineRule="auto"/>
        <w:jc w:val="center"/>
        <w:rPr>
          <w:rFonts w:ascii="Times New Roman" w:hAnsi="Times New Roman"/>
          <w:b/>
          <w:bCs/>
          <w:color w:val="336699"/>
          <w:sz w:val="20"/>
          <w:szCs w:val="20"/>
        </w:rPr>
      </w:pPr>
      <w:r w:rsidRPr="003D2F4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203B2" wp14:editId="5704B421">
                <wp:simplePos x="0" y="0"/>
                <wp:positionH relativeFrom="column">
                  <wp:posOffset>-18415</wp:posOffset>
                </wp:positionH>
                <wp:positionV relativeFrom="paragraph">
                  <wp:posOffset>34290</wp:posOffset>
                </wp:positionV>
                <wp:extent cx="3219450" cy="1399540"/>
                <wp:effectExtent l="19050" t="19050" r="190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399540"/>
                        </a:xfrm>
                        <a:prstGeom prst="rect">
                          <a:avLst/>
                        </a:prstGeom>
                        <a:solidFill>
                          <a:srgbClr val="0064C8">
                            <a:alpha val="0"/>
                          </a:srgbClr>
                        </a:solidFill>
                        <a:ln w="31750">
                          <a:solidFill>
                            <a:srgbClr val="0064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45pt;margin-top:2.7pt;width:253.5pt;height:1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uS7wIAALoFAAAOAAAAZHJzL2Uyb0RvYy54bWysVNuO0zAQfUfiHyy/d5M06S3adNXttgiJ&#10;y0oL4tlNnMbCsYPtNl0QEhKvSHwCH8EL4rLfkP4RY6ctXfZlhWilyGN7js/MnJnTs03J0ZoqzaRI&#10;cHDiY0RFKjMmlgl++WLeGWKkDREZ4VLQBF9Tjc/GDx+c1lVMu7KQPKMKAYjQcV0luDCmij1PpwUt&#10;iT6RFRVwmEtVEgOmWnqZIjWgl9zr+n7fq6XKKiVTqjXsXrSHeOzw85ym5nmea2oQTzBwM+6r3Hdh&#10;v974lMRLRaqCpTsa5B9YlIQJePQAdUEMQSvF7kCVLFVSy9ycpLL0ZJ6zlLoYIJrA/yuaq4JU1MUC&#10;ydHVIU36/8Gmz9aXCrEswSFGgpRQoubL9sP2c/Ozudl+bL42N82P7afmV/Ot+Y5Cm6+60jG4XVWX&#10;ykasqycyfa2RkNOCiCWdKCXrgpIMWAb2vnfLwRoaXNGifiozeI6sjHSp2+SqtICQFLRxFbo+VIhu&#10;DEphM+wGo6gHhUzhLAhHo17kauiReO9eKW0eUVkiu0iwAgk4eLJ+oo2lQ+L9FUdfcpbNGefOUMvF&#10;lCu0JlYufj+aDltfXhVkt+tCgrDbqw5PH2NwgWogGgyA5r0eaDndwiiZga7grEzw0Le/Vqc2qzOR&#10;gQOJDWG8XUNAXNgt6vTeRgnWxsDS7UPynBbfTeY9fxCFw85g0As7UTjzO+fD+bQzmQb9/mB2Pj2f&#10;Be8t6yCKC5ZlVMwcpt63RhDdT3q7Jm1FfWiOA0HLSq4gxqsiq1HGbKHC3qgbYDCgO7uDNmpE+BLG&#10;SmoURkqaV8wUriesLizGrghtZYZ9+9+V54DuCnT0sHcntvbGBlIFmdxnzYnW6rTV+0Jm16BZ4GCf&#10;tgMPFoVUbzGqYXgkWL9ZEUUx4o8F6H4URKBLZJwR9QZdMNTxyeL4hIgUoBJsMGqXU9NOqFWl2LKA&#10;lwIXrZAT6JWcORXbPmpZAW9rwIBwEeyGmZ1Ax7a79Wfkjn8DAAD//wMAUEsDBBQABgAIAAAAIQBS&#10;RcA84QAAAAgBAAAPAAAAZHJzL2Rvd25yZXYueG1sTI9PT4NAFMTvJn6HzTPxYtqlBAxFHk21Ghs9&#10;9Y+JxwWeQGTfIrst+O1dT3qczGTmN9lq0p0402BbwwiLeQCCuDRVyzXC8fA0S0BYp7hSnWFC+CYL&#10;q/zyIlNpZUbe0XnvauFL2KYKoXGuT6W0ZUNa2bnpib33YQatnJdDLatBjb5cdzIMglupVct+oVE9&#10;PTRUfu5PGuEluXl/Pny9HaPNuH2U5aZY30+viNdX0/oOhKPJ/YXhF9+jQ+6ZCnPiyooOYRYufRIh&#10;jkB4Ow6iBYgCIQzjBGSeyf8H8h8AAAD//wMAUEsBAi0AFAAGAAgAAAAhALaDOJL+AAAA4QEAABMA&#10;AAAAAAAAAAAAAAAAAAAAAFtDb250ZW50X1R5cGVzXS54bWxQSwECLQAUAAYACAAAACEAOP0h/9YA&#10;AACUAQAACwAAAAAAAAAAAAAAAAAvAQAAX3JlbHMvLnJlbHNQSwECLQAUAAYACAAAACEA/G07ku8C&#10;AAC6BQAADgAAAAAAAAAAAAAAAAAuAgAAZHJzL2Uyb0RvYy54bWxQSwECLQAUAAYACAAAACEAUkXA&#10;POEAAAAIAQAADwAAAAAAAAAAAAAAAABJBQAAZHJzL2Rvd25yZXYueG1sUEsFBgAAAAAEAAQA8wAA&#10;AFcGAAAAAA==&#10;" fillcolor="#0064c8" strokecolor="#0064c8" strokeweight="2.5pt">
                <v:fill opacity="0"/>
                <v:shadow color="#868686"/>
              </v:rect>
            </w:pict>
          </mc:Fallback>
        </mc:AlternateContent>
      </w:r>
    </w:p>
    <w:p w:rsidR="008B369D" w:rsidRPr="00641A8F" w:rsidRDefault="008B369D" w:rsidP="008B369D">
      <w:pPr>
        <w:pStyle w:val="a4"/>
        <w:spacing w:before="0" w:beforeAutospacing="0" w:after="0" w:afterAutospacing="0"/>
        <w:ind w:left="142" w:right="139" w:firstLine="284"/>
        <w:jc w:val="both"/>
        <w:rPr>
          <w:rFonts w:ascii="Arial" w:hAnsi="Arial" w:cs="Arial"/>
          <w:b/>
          <w:color w:val="0064C8"/>
          <w:sz w:val="20"/>
          <w:szCs w:val="20"/>
        </w:rPr>
      </w:pPr>
      <w:r w:rsidRPr="00641A8F">
        <w:rPr>
          <w:rFonts w:ascii="Arial" w:hAnsi="Arial" w:cs="Arial"/>
          <w:b/>
          <w:color w:val="0064C8"/>
          <w:sz w:val="20"/>
          <w:szCs w:val="20"/>
        </w:rPr>
        <w:t>Обратите внимание!</w:t>
      </w:r>
    </w:p>
    <w:p w:rsidR="008B369D" w:rsidRPr="00641A8F" w:rsidRDefault="008B369D" w:rsidP="008B369D">
      <w:pPr>
        <w:pStyle w:val="a4"/>
        <w:spacing w:before="0" w:beforeAutospacing="0" w:after="0" w:afterAutospacing="0"/>
        <w:ind w:left="142" w:right="139" w:firstLine="284"/>
        <w:jc w:val="both"/>
        <w:rPr>
          <w:rFonts w:ascii="Arial" w:hAnsi="Arial" w:cs="Arial"/>
          <w:b/>
          <w:color w:val="0064C8"/>
          <w:sz w:val="20"/>
          <w:szCs w:val="20"/>
        </w:rPr>
      </w:pPr>
      <w:r w:rsidRPr="00641A8F">
        <w:rPr>
          <w:rFonts w:ascii="Arial" w:hAnsi="Arial" w:cs="Arial"/>
          <w:b/>
          <w:color w:val="0064C8"/>
          <w:sz w:val="20"/>
          <w:szCs w:val="20"/>
        </w:rPr>
        <w:t>В соответствии с Федеральным законом от 01.05.2016 № 130-ФЗ рассылка налоговых уведомлений на уплату имущественных налогов, требований и иных документов пользователям Личного кабинета осуществляется в электронном виде, без направления по почте на бумажном носителе.</w:t>
      </w:r>
    </w:p>
    <w:p w:rsidR="008B369D" w:rsidRPr="00641A8F" w:rsidRDefault="008B369D" w:rsidP="008B369D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lastRenderedPageBreak/>
        <w:t>Для получения документов на бумажном носителе необходимо направить с помощью Личного кабинета уведомление о необходимости получения документов на бумажном носителе, подписанное усиленной квалифицированной или усиленной неквалифицированной электронной подписью.</w:t>
      </w:r>
    </w:p>
    <w:p w:rsidR="008B369D" w:rsidRPr="00641A8F" w:rsidRDefault="008B369D" w:rsidP="008B369D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>Усиленную неквалифицированную подпись можно получить бесплатно в разделе «Жизненные ситуации» Личного кабинета по ссылке «Нужна электронная подпись».</w:t>
      </w:r>
    </w:p>
    <w:p w:rsidR="008B369D" w:rsidRPr="00641A8F" w:rsidRDefault="008B369D" w:rsidP="008B369D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 xml:space="preserve">Пользователю предоставляется возможность выбора одного из двух вариантов электронной подписи: «ключ электронной подписи хранится на компьютере пользователя» или «ключ электронной подписи хранится в защищенном хранилище ФНС России». В обоих случаях сертификат ключа проверки электронной подписи будет полноценным инструментом для осуществления электронного документооборота через Личный кабинет. Пользователю необходимо задать и запомнить отдельный пароль для электронной подписи, которая выдается сроком на 1 год и подлежит </w:t>
      </w:r>
      <w:proofErr w:type="spellStart"/>
      <w:r w:rsidRPr="00641A8F">
        <w:rPr>
          <w:rFonts w:ascii="Arial" w:hAnsi="Arial" w:cs="Arial"/>
          <w:sz w:val="20"/>
          <w:szCs w:val="20"/>
        </w:rPr>
        <w:t>перевыпуску</w:t>
      </w:r>
      <w:proofErr w:type="spellEnd"/>
      <w:r w:rsidRPr="00641A8F">
        <w:rPr>
          <w:rFonts w:ascii="Arial" w:hAnsi="Arial" w:cs="Arial"/>
          <w:sz w:val="20"/>
          <w:szCs w:val="20"/>
        </w:rPr>
        <w:t xml:space="preserve"> по истечении указанного срока.</w:t>
      </w:r>
    </w:p>
    <w:p w:rsidR="008B369D" w:rsidRPr="00641A8F" w:rsidRDefault="008B369D" w:rsidP="008B369D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>Направить в налоговый орган уведомление о необходимости получения документов на бумажном носителе можно любым из двух способов:</w:t>
      </w:r>
    </w:p>
    <w:p w:rsidR="008B369D" w:rsidRPr="00641A8F" w:rsidRDefault="008B369D" w:rsidP="008B369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>выбрав соответствующий пункт в разделе «Жизненные ситуации»;</w:t>
      </w:r>
    </w:p>
    <w:p w:rsidR="008B369D" w:rsidRPr="00641A8F" w:rsidRDefault="008B369D" w:rsidP="00681BBC">
      <w:pPr>
        <w:numPr>
          <w:ilvl w:val="0"/>
          <w:numId w:val="2"/>
        </w:numPr>
        <w:tabs>
          <w:tab w:val="clear" w:pos="1640"/>
          <w:tab w:val="num" w:pos="709"/>
        </w:tabs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>в разделе «Профиль», подраздел «Контактная информация», по ссылке «Получать документы на бумажном носителе».</w:t>
      </w:r>
    </w:p>
    <w:p w:rsidR="008B369D" w:rsidRPr="00641A8F" w:rsidRDefault="008B369D" w:rsidP="008B369D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641A8F">
        <w:rPr>
          <w:rFonts w:ascii="Arial" w:hAnsi="Arial" w:cs="Arial"/>
          <w:sz w:val="20"/>
          <w:szCs w:val="20"/>
        </w:rPr>
        <w:t>В обоих случаях потребуется электронная подпись. Налоговый орган определяется автоматически.</w:t>
      </w:r>
    </w:p>
    <w:p w:rsidR="008B369D" w:rsidRPr="003D2F48" w:rsidRDefault="008B369D" w:rsidP="008B369D">
      <w:pPr>
        <w:pStyle w:val="a8"/>
        <w:spacing w:before="0" w:after="0"/>
        <w:ind w:firstLine="284"/>
        <w:rPr>
          <w:sz w:val="18"/>
          <w:szCs w:val="18"/>
        </w:rPr>
      </w:pPr>
    </w:p>
    <w:p w:rsidR="008B369D" w:rsidRPr="003D2F48" w:rsidRDefault="008B369D" w:rsidP="008B369D">
      <w:pPr>
        <w:pStyle w:val="a8"/>
        <w:spacing w:before="0" w:after="0"/>
        <w:ind w:firstLine="284"/>
        <w:rPr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0064C8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0064C8"/>
        </w:rPr>
      </w:pPr>
      <w:r w:rsidRPr="003D2F48">
        <w:rPr>
          <w:rFonts w:ascii="Times New Roman" w:hAnsi="Times New Roman"/>
          <w:b/>
          <w:color w:val="0064C8"/>
        </w:rPr>
        <w:t xml:space="preserve">Режим работы операционного зала: 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3D2F48">
        <w:rPr>
          <w:rFonts w:ascii="Times New Roman" w:hAnsi="Times New Roman"/>
          <w:b/>
          <w:color w:val="FF0000"/>
        </w:rPr>
        <w:t>понедельник, среда - 8.00 до 18.00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3D2F48">
        <w:rPr>
          <w:rFonts w:ascii="Times New Roman" w:hAnsi="Times New Roman"/>
          <w:b/>
          <w:color w:val="FF0000"/>
        </w:rPr>
        <w:t>вторник, четверг - с 8.00 до 20.00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3D2F48">
        <w:rPr>
          <w:rFonts w:ascii="Times New Roman" w:hAnsi="Times New Roman"/>
          <w:b/>
          <w:color w:val="FF0000"/>
        </w:rPr>
        <w:t>пятница - с 8.00 до 16.45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i/>
          <w:color w:val="00589A"/>
          <w:sz w:val="18"/>
          <w:szCs w:val="18"/>
        </w:rPr>
      </w:pPr>
    </w:p>
    <w:p w:rsidR="00641A8F" w:rsidRPr="0098081B" w:rsidRDefault="00641A8F" w:rsidP="008B369D">
      <w:pPr>
        <w:spacing w:after="0" w:line="240" w:lineRule="auto"/>
        <w:jc w:val="center"/>
        <w:rPr>
          <w:rFonts w:ascii="Times New Roman" w:hAnsi="Times New Roman"/>
          <w:b/>
          <w:color w:val="0064C8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0064C8"/>
          <w:sz w:val="18"/>
          <w:szCs w:val="18"/>
        </w:rPr>
      </w:pPr>
      <w:r w:rsidRPr="003D2F48">
        <w:rPr>
          <w:rFonts w:ascii="Times New Roman" w:hAnsi="Times New Roman"/>
          <w:b/>
          <w:color w:val="0064C8"/>
          <w:sz w:val="18"/>
          <w:szCs w:val="18"/>
        </w:rPr>
        <w:t xml:space="preserve">Телефон справочной службы: </w:t>
      </w:r>
    </w:p>
    <w:p w:rsidR="008B369D" w:rsidRPr="003D2F48" w:rsidRDefault="008B369D" w:rsidP="008B369D">
      <w:pPr>
        <w:spacing w:after="0" w:line="240" w:lineRule="auto"/>
        <w:jc w:val="center"/>
        <w:rPr>
          <w:rFonts w:ascii="Times New Roman" w:hAnsi="Times New Roman"/>
          <w:b/>
          <w:color w:val="0064C8"/>
          <w:sz w:val="18"/>
          <w:szCs w:val="18"/>
        </w:rPr>
      </w:pPr>
      <w:r w:rsidRPr="003D2F48">
        <w:rPr>
          <w:rFonts w:ascii="Times New Roman" w:hAnsi="Times New Roman"/>
          <w:b/>
          <w:color w:val="0064C8"/>
          <w:sz w:val="18"/>
          <w:szCs w:val="18"/>
        </w:rPr>
        <w:t>8 (800) 222-22-22</w:t>
      </w:r>
    </w:p>
    <w:p w:rsidR="008B369D" w:rsidRPr="0098081B" w:rsidRDefault="00A82604" w:rsidP="008B369D">
      <w:pPr>
        <w:spacing w:after="0" w:line="240" w:lineRule="auto"/>
        <w:jc w:val="center"/>
        <w:rPr>
          <w:rStyle w:val="a3"/>
          <w:rFonts w:ascii="Times New Roman" w:hAnsi="Times New Roman"/>
          <w:b/>
          <w:sz w:val="18"/>
          <w:szCs w:val="18"/>
        </w:rPr>
      </w:pPr>
      <w:hyperlink r:id="rId10" w:history="1">
        <w:r w:rsidR="006D7DB9" w:rsidRPr="002A6480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www</w:t>
        </w:r>
        <w:r w:rsidR="006D7DB9" w:rsidRPr="002A6480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="006D7DB9" w:rsidRPr="002A6480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nalog</w:t>
        </w:r>
        <w:r w:rsidR="006D7DB9" w:rsidRPr="002A6480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="006D7DB9" w:rsidRPr="002A6480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gov.ru</w:t>
        </w:r>
      </w:hyperlink>
    </w:p>
    <w:p w:rsidR="00641A8F" w:rsidRPr="0098081B" w:rsidRDefault="00641A8F" w:rsidP="008B369D">
      <w:pPr>
        <w:spacing w:after="0" w:line="240" w:lineRule="auto"/>
        <w:jc w:val="center"/>
        <w:rPr>
          <w:rStyle w:val="a3"/>
          <w:rFonts w:ascii="Times New Roman" w:hAnsi="Times New Roman"/>
          <w:b/>
          <w:sz w:val="18"/>
          <w:szCs w:val="18"/>
        </w:rPr>
      </w:pPr>
    </w:p>
    <w:p w:rsidR="00641A8F" w:rsidRPr="003D2F48" w:rsidRDefault="00641A8F" w:rsidP="008B369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8B369D" w:rsidRPr="003D2F48" w:rsidRDefault="00641A8F" w:rsidP="008B369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3D2F48"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E203C23" wp14:editId="05AFB5CD">
            <wp:simplePos x="0" y="0"/>
            <wp:positionH relativeFrom="column">
              <wp:posOffset>-52070</wp:posOffset>
            </wp:positionH>
            <wp:positionV relativeFrom="paragraph">
              <wp:posOffset>113030</wp:posOffset>
            </wp:positionV>
            <wp:extent cx="682625" cy="723900"/>
            <wp:effectExtent l="0" t="0" r="3175" b="0"/>
            <wp:wrapNone/>
            <wp:docPr id="1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9D" w:rsidRPr="00641A8F" w:rsidRDefault="008B369D" w:rsidP="008B369D">
      <w:pPr>
        <w:spacing w:after="0" w:line="240" w:lineRule="auto"/>
        <w:ind w:left="1247"/>
        <w:rPr>
          <w:rFonts w:ascii="Arial" w:hAnsi="Arial" w:cs="Arial"/>
          <w:color w:val="17365D" w:themeColor="text2" w:themeShade="BF"/>
          <w:sz w:val="24"/>
          <w:szCs w:val="24"/>
        </w:rPr>
      </w:pPr>
      <w:r w:rsidRPr="00641A8F">
        <w:rPr>
          <w:rFonts w:ascii="Arial" w:hAnsi="Arial" w:cs="Arial"/>
          <w:color w:val="17365D" w:themeColor="text2" w:themeShade="BF"/>
          <w:sz w:val="24"/>
          <w:szCs w:val="24"/>
        </w:rPr>
        <w:t>Межрайонная инспекция</w:t>
      </w:r>
    </w:p>
    <w:p w:rsidR="008B369D" w:rsidRPr="00641A8F" w:rsidRDefault="008B369D" w:rsidP="008B369D">
      <w:pPr>
        <w:spacing w:after="0" w:line="240" w:lineRule="auto"/>
        <w:ind w:left="1247"/>
        <w:rPr>
          <w:rFonts w:ascii="Arial" w:hAnsi="Arial" w:cs="Arial"/>
          <w:color w:val="17365D" w:themeColor="text2" w:themeShade="BF"/>
          <w:sz w:val="24"/>
          <w:szCs w:val="24"/>
        </w:rPr>
      </w:pPr>
      <w:r w:rsidRPr="00641A8F">
        <w:rPr>
          <w:rFonts w:ascii="Arial" w:hAnsi="Arial" w:cs="Arial"/>
          <w:color w:val="17365D" w:themeColor="text2" w:themeShade="BF"/>
          <w:sz w:val="24"/>
          <w:szCs w:val="24"/>
        </w:rPr>
        <w:t>Федеральной налоговой службы</w:t>
      </w:r>
      <w:r w:rsidR="006319A2" w:rsidRPr="00641A8F">
        <w:rPr>
          <w:rFonts w:ascii="Arial" w:hAnsi="Arial" w:cs="Arial"/>
          <w:color w:val="17365D" w:themeColor="text2" w:themeShade="BF"/>
          <w:sz w:val="24"/>
          <w:szCs w:val="24"/>
        </w:rPr>
        <w:t xml:space="preserve"> России </w:t>
      </w:r>
      <w:r w:rsidRPr="00641A8F">
        <w:rPr>
          <w:rFonts w:ascii="Arial" w:hAnsi="Arial" w:cs="Arial"/>
          <w:color w:val="17365D" w:themeColor="text2" w:themeShade="BF"/>
          <w:sz w:val="24"/>
          <w:szCs w:val="24"/>
        </w:rPr>
        <w:t>№ 11 по Вологодской области</w:t>
      </w:r>
    </w:p>
    <w:p w:rsidR="008B369D" w:rsidRPr="003D2F48" w:rsidRDefault="008B369D" w:rsidP="008B36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B369D" w:rsidRPr="003D2F48" w:rsidRDefault="008B369D" w:rsidP="008B369D">
      <w:pPr>
        <w:spacing w:after="0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6319A2" w:rsidRDefault="008B369D" w:rsidP="008B369D">
      <w:pPr>
        <w:spacing w:after="0"/>
        <w:jc w:val="center"/>
        <w:rPr>
          <w:rFonts w:ascii="Arial" w:hAnsi="Arial" w:cs="Arial"/>
          <w:b/>
          <w:caps/>
          <w:color w:val="0070C0"/>
          <w:sz w:val="48"/>
          <w:szCs w:val="48"/>
        </w:rPr>
      </w:pPr>
      <w:r w:rsidRPr="006319A2">
        <w:rPr>
          <w:rFonts w:ascii="Arial" w:hAnsi="Arial" w:cs="Arial"/>
          <w:b/>
          <w:caps/>
          <w:color w:val="0070C0"/>
          <w:sz w:val="48"/>
          <w:szCs w:val="48"/>
        </w:rPr>
        <w:t>Транспортный</w:t>
      </w:r>
    </w:p>
    <w:p w:rsidR="008B369D" w:rsidRPr="006319A2" w:rsidRDefault="008B369D" w:rsidP="008B369D">
      <w:pPr>
        <w:spacing w:after="0"/>
        <w:jc w:val="center"/>
        <w:rPr>
          <w:rFonts w:ascii="Arial" w:hAnsi="Arial" w:cs="Arial"/>
          <w:b/>
          <w:caps/>
          <w:color w:val="0070C0"/>
          <w:sz w:val="48"/>
          <w:szCs w:val="48"/>
        </w:rPr>
      </w:pPr>
      <w:r w:rsidRPr="006319A2">
        <w:rPr>
          <w:rFonts w:ascii="Arial" w:hAnsi="Arial" w:cs="Arial"/>
          <w:b/>
          <w:caps/>
          <w:color w:val="0070C0"/>
          <w:sz w:val="48"/>
          <w:szCs w:val="48"/>
        </w:rPr>
        <w:t xml:space="preserve">налог </w:t>
      </w:r>
    </w:p>
    <w:p w:rsidR="008B369D" w:rsidRPr="006319A2" w:rsidRDefault="008B369D" w:rsidP="008B369D">
      <w:pPr>
        <w:spacing w:after="0"/>
        <w:jc w:val="center"/>
        <w:rPr>
          <w:rFonts w:ascii="Arial" w:hAnsi="Arial" w:cs="Arial"/>
          <w:b/>
          <w:caps/>
          <w:color w:val="0070C0"/>
          <w:sz w:val="48"/>
          <w:szCs w:val="48"/>
        </w:rPr>
      </w:pPr>
      <w:r w:rsidRPr="006319A2">
        <w:rPr>
          <w:rFonts w:ascii="Arial" w:hAnsi="Arial" w:cs="Arial"/>
          <w:b/>
          <w:caps/>
          <w:color w:val="0070C0"/>
          <w:sz w:val="48"/>
          <w:szCs w:val="48"/>
        </w:rPr>
        <w:t xml:space="preserve">с физических </w:t>
      </w:r>
    </w:p>
    <w:p w:rsidR="008B369D" w:rsidRPr="006319A2" w:rsidRDefault="008B369D" w:rsidP="008B369D">
      <w:pPr>
        <w:spacing w:after="0"/>
        <w:jc w:val="center"/>
        <w:rPr>
          <w:rFonts w:ascii="Arial" w:hAnsi="Arial" w:cs="Arial"/>
          <w:b/>
          <w:caps/>
          <w:color w:val="0070C0"/>
          <w:sz w:val="48"/>
          <w:szCs w:val="48"/>
        </w:rPr>
      </w:pPr>
      <w:r w:rsidRPr="006319A2">
        <w:rPr>
          <w:rFonts w:ascii="Arial" w:hAnsi="Arial" w:cs="Arial"/>
          <w:b/>
          <w:caps/>
          <w:color w:val="0070C0"/>
          <w:sz w:val="48"/>
          <w:szCs w:val="48"/>
        </w:rPr>
        <w:t>лиц</w:t>
      </w: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  <w:r w:rsidRPr="003D2F48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97536" distB="98171" distL="211836" distR="212217" simplePos="0" relativeHeight="251659264" behindDoc="0" locked="0" layoutInCell="1" allowOverlap="1" wp14:anchorId="343D3CAB" wp14:editId="2C4D4AAF">
            <wp:simplePos x="0" y="0"/>
            <wp:positionH relativeFrom="column">
              <wp:posOffset>162941</wp:posOffset>
            </wp:positionH>
            <wp:positionV relativeFrom="paragraph">
              <wp:posOffset>42926</wp:posOffset>
            </wp:positionV>
            <wp:extent cx="2962402" cy="1797558"/>
            <wp:effectExtent l="114300" t="114300" r="123825" b="107950"/>
            <wp:wrapNone/>
            <wp:docPr id="6" name="Рисунок 6" descr="E:\highlander-country-dr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E:\highlander-country-driv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FF0000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1754CF"/>
          <w:sz w:val="18"/>
          <w:szCs w:val="18"/>
        </w:rPr>
      </w:pPr>
    </w:p>
    <w:p w:rsidR="008B369D" w:rsidRPr="003D2F48" w:rsidRDefault="008B369D" w:rsidP="008B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70C0"/>
          <w:sz w:val="18"/>
          <w:szCs w:val="18"/>
        </w:rPr>
      </w:pPr>
      <w:r w:rsidRPr="003D2F48">
        <w:rPr>
          <w:rFonts w:ascii="Times New Roman" w:hAnsi="Times New Roman"/>
          <w:b/>
          <w:caps/>
          <w:color w:val="0070C0"/>
          <w:sz w:val="18"/>
          <w:szCs w:val="18"/>
        </w:rPr>
        <w:t>2019</w:t>
      </w:r>
      <w:r w:rsidRPr="003D2F48">
        <w:rPr>
          <w:rFonts w:ascii="Times New Roman" w:eastAsia="Times New Roman" w:hAnsi="Times New Roman"/>
          <w:snapToGrid w:val="0"/>
          <w:color w:val="0070C0"/>
          <w:w w:val="1"/>
          <w:sz w:val="18"/>
          <w:szCs w:val="1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050E35" w:rsidRPr="003D2F48" w:rsidRDefault="00050E35">
      <w:pPr>
        <w:rPr>
          <w:rFonts w:ascii="Times New Roman" w:hAnsi="Times New Roman"/>
          <w:sz w:val="18"/>
          <w:szCs w:val="18"/>
        </w:rPr>
      </w:pPr>
    </w:p>
    <w:p w:rsidR="008B369D" w:rsidRPr="003D2F48" w:rsidRDefault="008B369D">
      <w:pPr>
        <w:rPr>
          <w:rFonts w:ascii="Times New Roman" w:hAnsi="Times New Roman"/>
          <w:sz w:val="18"/>
          <w:szCs w:val="18"/>
        </w:rPr>
      </w:pPr>
    </w:p>
    <w:p w:rsidR="008B369D" w:rsidRPr="003D2F48" w:rsidRDefault="008B369D">
      <w:pPr>
        <w:rPr>
          <w:rFonts w:ascii="Times New Roman" w:hAnsi="Times New Roman"/>
          <w:sz w:val="18"/>
          <w:szCs w:val="18"/>
        </w:rPr>
      </w:pPr>
    </w:p>
    <w:p w:rsidR="008B369D" w:rsidRPr="003D2F48" w:rsidRDefault="008B369D">
      <w:pPr>
        <w:rPr>
          <w:rFonts w:ascii="Times New Roman" w:hAnsi="Times New Roman"/>
          <w:sz w:val="18"/>
          <w:szCs w:val="18"/>
        </w:rPr>
      </w:pPr>
    </w:p>
    <w:p w:rsidR="008B369D" w:rsidRPr="006319A2" w:rsidRDefault="008B369D" w:rsidP="008B369D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en-US"/>
        </w:rPr>
      </w:pPr>
      <w:r w:rsidRPr="006319A2">
        <w:rPr>
          <w:rFonts w:ascii="Arial" w:hAnsi="Arial" w:cs="Arial"/>
          <w:b/>
          <w:color w:val="365F91" w:themeColor="accent1" w:themeShade="BF"/>
          <w:sz w:val="32"/>
          <w:szCs w:val="32"/>
          <w:lang w:val="en-US"/>
        </w:rPr>
        <w:t>202</w:t>
      </w:r>
      <w:r w:rsidR="0098081B">
        <w:rPr>
          <w:rFonts w:ascii="Arial" w:hAnsi="Arial" w:cs="Arial"/>
          <w:b/>
          <w:color w:val="365F91" w:themeColor="accent1" w:themeShade="BF"/>
          <w:sz w:val="32"/>
          <w:szCs w:val="32"/>
          <w:lang w:val="en-US"/>
        </w:rPr>
        <w:t>1</w:t>
      </w:r>
    </w:p>
    <w:sectPr w:rsidR="008B369D" w:rsidRPr="006319A2" w:rsidSect="008B369D">
      <w:pgSz w:w="16838" w:h="11906" w:orient="landscape"/>
      <w:pgMar w:top="284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90B"/>
    <w:multiLevelType w:val="multilevel"/>
    <w:tmpl w:val="4EB039B0"/>
    <w:lvl w:ilvl="0">
      <w:start w:val="1"/>
      <w:numFmt w:val="bullet"/>
      <w:lvlText w:val=""/>
      <w:lvlJc w:val="left"/>
      <w:pPr>
        <w:tabs>
          <w:tab w:val="num" w:pos="720"/>
        </w:tabs>
        <w:ind w:left="680" w:hanging="32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00"/>
        </w:tabs>
        <w:ind w:left="1360" w:hanging="323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0"/>
        </w:tabs>
        <w:ind w:left="2040" w:hanging="32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60"/>
        </w:tabs>
        <w:ind w:left="2720" w:hanging="32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40"/>
        </w:tabs>
        <w:ind w:left="3400" w:hanging="32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20"/>
        </w:tabs>
        <w:ind w:left="4080" w:hanging="32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00"/>
        </w:tabs>
        <w:ind w:left="4760" w:hanging="32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80"/>
        </w:tabs>
        <w:ind w:left="5440" w:hanging="32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60"/>
        </w:tabs>
        <w:ind w:left="6120" w:hanging="323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40"/>
          </w:tabs>
          <w:ind w:left="1600" w:hanging="323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00"/>
          </w:tabs>
          <w:ind w:left="1360" w:hanging="323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080"/>
          </w:tabs>
          <w:ind w:left="2040" w:hanging="323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760"/>
          </w:tabs>
          <w:ind w:left="2720" w:hanging="323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440"/>
          </w:tabs>
          <w:ind w:left="3400" w:hanging="323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120"/>
          </w:tabs>
          <w:ind w:left="4080" w:hanging="323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800"/>
          </w:tabs>
          <w:ind w:left="4760" w:hanging="323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80"/>
          </w:tabs>
          <w:ind w:left="5440" w:hanging="323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60"/>
          </w:tabs>
          <w:ind w:left="6120" w:hanging="323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5C"/>
    <w:rsid w:val="00050E35"/>
    <w:rsid w:val="000C3B05"/>
    <w:rsid w:val="0028466C"/>
    <w:rsid w:val="003D2F48"/>
    <w:rsid w:val="006319A2"/>
    <w:rsid w:val="00641A8F"/>
    <w:rsid w:val="00681BBC"/>
    <w:rsid w:val="006D7DB9"/>
    <w:rsid w:val="008B369D"/>
    <w:rsid w:val="0098081B"/>
    <w:rsid w:val="00A07A5C"/>
    <w:rsid w:val="00A82604"/>
    <w:rsid w:val="00EA6972"/>
    <w:rsid w:val="00EE1166"/>
    <w:rsid w:val="00F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369D"/>
    <w:rPr>
      <w:color w:val="0000FF"/>
      <w:u w:val="single"/>
    </w:rPr>
  </w:style>
  <w:style w:type="paragraph" w:styleId="a4">
    <w:name w:val="Normal (Web)"/>
    <w:basedOn w:val="a"/>
    <w:semiHidden/>
    <w:unhideWhenUsed/>
    <w:rsid w:val="008B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B369D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3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B36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8B36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Абзац_рег"/>
    <w:basedOn w:val="a"/>
    <w:qFormat/>
    <w:rsid w:val="008B369D"/>
    <w:pPr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369D"/>
    <w:rPr>
      <w:color w:val="0000FF"/>
      <w:u w:val="single"/>
    </w:rPr>
  </w:style>
  <w:style w:type="paragraph" w:styleId="a4">
    <w:name w:val="Normal (Web)"/>
    <w:basedOn w:val="a"/>
    <w:semiHidden/>
    <w:unhideWhenUsed/>
    <w:rsid w:val="008B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B369D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36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B36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8B36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Абзац_рег"/>
    <w:basedOn w:val="a"/>
    <w:qFormat/>
    <w:rsid w:val="008B369D"/>
    <w:pPr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758786474705B9022E4A5593128E500B234E1EB5985A1E2C4705E163BFB202AEA3A17C66BAA69CBF836DB153B7E6E42B26C2C90E1F19AdA48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10760DEEDDAA6104396B98DBE672512C8A7FEA88ECE7D68ACA984F02A76DC052D4AC16C0089DTAP0H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94328366611D854E2A40E03214230304A4560DE7552804EBDC902A84B438B4E0A96058CC851E1A4AA383B5C1vB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Надежда Леонидовна</dc:creator>
  <cp:lastModifiedBy>Астапенкова Ирина Витальевна</cp:lastModifiedBy>
  <cp:revision>2</cp:revision>
  <dcterms:created xsi:type="dcterms:W3CDTF">2021-10-05T09:08:00Z</dcterms:created>
  <dcterms:modified xsi:type="dcterms:W3CDTF">2021-10-05T09:08:00Z</dcterms:modified>
</cp:coreProperties>
</file>